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F0490C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>OFICIO</w:t>
      </w:r>
      <w:r w:rsidR="007754CD" w:rsidRPr="00F0490C">
        <w:rPr>
          <w:rFonts w:ascii="Arial" w:hAnsi="Arial" w:cs="Arial"/>
        </w:rPr>
        <w:t>: IDAIP/</w:t>
      </w:r>
      <w:r w:rsidR="006E2CD1">
        <w:rPr>
          <w:rFonts w:ascii="Arial" w:hAnsi="Arial" w:cs="Arial"/>
        </w:rPr>
        <w:t>0</w:t>
      </w:r>
      <w:r w:rsidR="000C0A46">
        <w:rPr>
          <w:rFonts w:ascii="Arial" w:hAnsi="Arial" w:cs="Arial"/>
        </w:rPr>
        <w:t>2</w:t>
      </w:r>
      <w:r w:rsidR="009B4DAF">
        <w:rPr>
          <w:rFonts w:ascii="Arial" w:hAnsi="Arial" w:cs="Arial"/>
        </w:rPr>
        <w:t>8</w:t>
      </w:r>
      <w:r w:rsidR="00A54B03" w:rsidRPr="00F0490C">
        <w:rPr>
          <w:rFonts w:ascii="Arial" w:hAnsi="Arial" w:cs="Arial"/>
        </w:rPr>
        <w:t>/</w:t>
      </w:r>
      <w:r w:rsidR="00DE1134" w:rsidRPr="00F0490C">
        <w:rPr>
          <w:rFonts w:ascii="Arial" w:hAnsi="Arial" w:cs="Arial"/>
        </w:rPr>
        <w:t>1</w:t>
      </w:r>
      <w:r w:rsidR="00C73A69" w:rsidRPr="00F0490C">
        <w:rPr>
          <w:rFonts w:ascii="Arial" w:hAnsi="Arial" w:cs="Arial"/>
        </w:rPr>
        <w:t>6</w:t>
      </w:r>
    </w:p>
    <w:p w:rsidR="007B51B6" w:rsidRPr="00F0490C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Durango, Dgo., a </w:t>
      </w:r>
      <w:r w:rsidR="000C0A46">
        <w:rPr>
          <w:rFonts w:ascii="Arial" w:hAnsi="Arial" w:cs="Arial"/>
        </w:rPr>
        <w:t>20</w:t>
      </w:r>
      <w:r w:rsidR="00C73A69" w:rsidRPr="00F0490C">
        <w:rPr>
          <w:rFonts w:ascii="Arial" w:hAnsi="Arial" w:cs="Arial"/>
        </w:rPr>
        <w:t xml:space="preserve"> de </w:t>
      </w:r>
      <w:r w:rsidR="00346B8D">
        <w:rPr>
          <w:rFonts w:ascii="Arial" w:hAnsi="Arial" w:cs="Arial"/>
        </w:rPr>
        <w:t>Enero</w:t>
      </w:r>
      <w:r w:rsidR="00C73A69" w:rsidRPr="00F0490C">
        <w:rPr>
          <w:rFonts w:ascii="Arial" w:hAnsi="Arial" w:cs="Arial"/>
        </w:rPr>
        <w:t xml:space="preserve"> de 2016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7754CD" w:rsidRPr="00F0490C" w:rsidRDefault="002D1BA7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F0490C">
        <w:rPr>
          <w:rFonts w:ascii="Arial" w:hAnsi="Arial" w:cs="Arial"/>
          <w:b/>
        </w:rPr>
        <w:t>C.</w:t>
      </w:r>
      <w:r w:rsidR="00DE60E6">
        <w:rPr>
          <w:rFonts w:ascii="Arial" w:hAnsi="Arial" w:cs="Arial"/>
          <w:b/>
        </w:rPr>
        <w:t xml:space="preserve"> SOLICITANTE</w:t>
      </w:r>
      <w:r w:rsidR="007D5D83">
        <w:rPr>
          <w:rFonts w:ascii="Arial" w:hAnsi="Arial" w:cs="Arial"/>
          <w:b/>
        </w:rPr>
        <w:t>.</w:t>
      </w:r>
    </w:p>
    <w:p w:rsidR="007B51B6" w:rsidRPr="00F0490C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F0490C">
        <w:rPr>
          <w:rFonts w:ascii="Arial" w:hAnsi="Arial" w:cs="Arial"/>
          <w:b/>
        </w:rPr>
        <w:t xml:space="preserve">PRESENTE.- </w:t>
      </w:r>
    </w:p>
    <w:p w:rsidR="007B51B6" w:rsidRPr="00F0490C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6011CF" w:rsidRDefault="006011CF" w:rsidP="00F0490C">
      <w:pPr>
        <w:spacing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3747F8" w:rsidRPr="00F0490C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En atención a </w:t>
      </w:r>
      <w:r w:rsidR="007B51B6" w:rsidRPr="00F0490C">
        <w:rPr>
          <w:rFonts w:ascii="Arial" w:hAnsi="Arial" w:cs="Arial"/>
        </w:rPr>
        <w:t>su solici</w:t>
      </w:r>
      <w:r w:rsidR="00B02605" w:rsidRPr="00F0490C">
        <w:rPr>
          <w:rFonts w:ascii="Arial" w:hAnsi="Arial" w:cs="Arial"/>
        </w:rPr>
        <w:t>tu</w:t>
      </w:r>
      <w:r w:rsidR="007B51B6" w:rsidRPr="00F0490C">
        <w:rPr>
          <w:rFonts w:ascii="Arial" w:hAnsi="Arial" w:cs="Arial"/>
        </w:rPr>
        <w:t xml:space="preserve">d de información registrada en el Sistema </w:t>
      </w:r>
      <w:r w:rsidRPr="00F0490C">
        <w:rPr>
          <w:rFonts w:ascii="Arial" w:hAnsi="Arial" w:cs="Arial"/>
        </w:rPr>
        <w:t>INFOMEX-DURANGO</w:t>
      </w:r>
      <w:r w:rsidR="007B51B6" w:rsidRPr="00F0490C">
        <w:rPr>
          <w:rFonts w:ascii="Arial" w:hAnsi="Arial" w:cs="Arial"/>
        </w:rPr>
        <w:t xml:space="preserve">, el día </w:t>
      </w:r>
      <w:r w:rsidR="00C6711D" w:rsidRPr="00F0490C">
        <w:rPr>
          <w:rFonts w:ascii="Arial" w:hAnsi="Arial" w:cs="Arial"/>
        </w:rPr>
        <w:t>1</w:t>
      </w:r>
      <w:r w:rsidR="007D5D83">
        <w:rPr>
          <w:rFonts w:ascii="Arial" w:hAnsi="Arial" w:cs="Arial"/>
        </w:rPr>
        <w:t>9</w:t>
      </w:r>
      <w:r w:rsidR="00C6711D" w:rsidRPr="00F0490C">
        <w:rPr>
          <w:rFonts w:ascii="Arial" w:hAnsi="Arial" w:cs="Arial"/>
        </w:rPr>
        <w:t xml:space="preserve"> de enero de 2016</w:t>
      </w:r>
      <w:r w:rsidR="007B51B6" w:rsidRPr="00F0490C">
        <w:rPr>
          <w:rFonts w:ascii="Arial" w:hAnsi="Arial" w:cs="Arial"/>
        </w:rPr>
        <w:t xml:space="preserve">, a la que se </w:t>
      </w:r>
      <w:r w:rsidR="00B02605" w:rsidRPr="00F0490C">
        <w:rPr>
          <w:rFonts w:ascii="Arial" w:hAnsi="Arial" w:cs="Arial"/>
        </w:rPr>
        <w:t xml:space="preserve">le </w:t>
      </w:r>
      <w:r w:rsidR="007B51B6" w:rsidRPr="00F0490C">
        <w:rPr>
          <w:rFonts w:ascii="Arial" w:hAnsi="Arial" w:cs="Arial"/>
        </w:rPr>
        <w:t>asign</w:t>
      </w:r>
      <w:r w:rsidR="0075092F" w:rsidRPr="00F0490C">
        <w:rPr>
          <w:rFonts w:ascii="Arial" w:hAnsi="Arial" w:cs="Arial"/>
        </w:rPr>
        <w:t>ó</w:t>
      </w:r>
      <w:r w:rsidR="007B51B6" w:rsidRPr="00F0490C">
        <w:rPr>
          <w:rFonts w:ascii="Arial" w:hAnsi="Arial" w:cs="Arial"/>
        </w:rPr>
        <w:t xml:space="preserve"> </w:t>
      </w:r>
      <w:r w:rsidR="0075092F" w:rsidRPr="00F0490C">
        <w:rPr>
          <w:rFonts w:ascii="Arial" w:hAnsi="Arial" w:cs="Arial"/>
        </w:rPr>
        <w:t>el</w:t>
      </w:r>
      <w:r w:rsidR="007B51B6" w:rsidRPr="00F0490C">
        <w:rPr>
          <w:rFonts w:ascii="Arial" w:hAnsi="Arial" w:cs="Arial"/>
        </w:rPr>
        <w:t xml:space="preserve"> número de folio </w:t>
      </w:r>
      <w:r w:rsidR="00C6711D" w:rsidRPr="00F0490C">
        <w:rPr>
          <w:rFonts w:ascii="Arial" w:hAnsi="Arial" w:cs="Arial"/>
        </w:rPr>
        <w:t>0000</w:t>
      </w:r>
      <w:r w:rsidR="007D5D83">
        <w:rPr>
          <w:rFonts w:ascii="Arial" w:hAnsi="Arial" w:cs="Arial"/>
        </w:rPr>
        <w:t>5</w:t>
      </w:r>
      <w:r w:rsidR="009B4DAF">
        <w:rPr>
          <w:rFonts w:ascii="Arial" w:hAnsi="Arial" w:cs="Arial"/>
        </w:rPr>
        <w:t>8</w:t>
      </w:r>
      <w:r w:rsidR="007D5D83">
        <w:rPr>
          <w:rFonts w:ascii="Arial" w:hAnsi="Arial" w:cs="Arial"/>
        </w:rPr>
        <w:t>-</w:t>
      </w:r>
      <w:r w:rsidR="00C6711D" w:rsidRPr="00F0490C">
        <w:rPr>
          <w:rFonts w:ascii="Arial" w:hAnsi="Arial" w:cs="Arial"/>
        </w:rPr>
        <w:t>16</w:t>
      </w:r>
      <w:r w:rsidR="00B02605" w:rsidRPr="00F0490C">
        <w:rPr>
          <w:rFonts w:ascii="Arial" w:hAnsi="Arial" w:cs="Arial"/>
        </w:rPr>
        <w:t>,</w:t>
      </w:r>
      <w:r w:rsidR="007B51B6" w:rsidRPr="00F0490C">
        <w:rPr>
          <w:rFonts w:ascii="Arial" w:hAnsi="Arial" w:cs="Arial"/>
        </w:rPr>
        <w:t xml:space="preserve"> mediante la </w:t>
      </w:r>
      <w:r w:rsidR="00C73A69" w:rsidRPr="00F0490C">
        <w:rPr>
          <w:rFonts w:ascii="Arial" w:hAnsi="Arial" w:cs="Arial"/>
        </w:rPr>
        <w:t>cual requirió de este Instituto</w:t>
      </w:r>
      <w:r w:rsidR="00C6711D" w:rsidRPr="00F0490C">
        <w:rPr>
          <w:rFonts w:ascii="Arial" w:hAnsi="Arial" w:cs="Arial"/>
        </w:rPr>
        <w:t xml:space="preserve"> lo siguiente</w:t>
      </w:r>
      <w:r w:rsidR="00247FB0" w:rsidRPr="00F0490C">
        <w:rPr>
          <w:rFonts w:ascii="Arial" w:hAnsi="Arial" w:cs="Arial"/>
        </w:rPr>
        <w:t>:</w:t>
      </w:r>
    </w:p>
    <w:p w:rsidR="007D5D83" w:rsidRDefault="004A0A52" w:rsidP="009B4DAF">
      <w:p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 w:rsidRPr="00F0490C">
        <w:rPr>
          <w:rFonts w:ascii="Arial" w:eastAsia="Times New Roman" w:hAnsi="Arial" w:cs="Arial"/>
          <w:i/>
          <w:color w:val="000000"/>
          <w:lang w:eastAsia="es-MX"/>
        </w:rPr>
        <w:t>“</w:t>
      </w:r>
      <w:r w:rsidR="009B4DAF">
        <w:rPr>
          <w:rFonts w:ascii="Arial" w:eastAsia="Times New Roman" w:hAnsi="Arial" w:cs="Arial"/>
          <w:i/>
          <w:color w:val="000000"/>
          <w:lang w:eastAsia="es-MX"/>
        </w:rPr>
        <w:t>Solicito información estadística en formato de datos abiertos (Excel) de:</w:t>
      </w:r>
    </w:p>
    <w:p w:rsidR="009B4DAF" w:rsidRDefault="009B4DAF" w:rsidP="009B4DAF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>
        <w:rPr>
          <w:rFonts w:ascii="Arial" w:eastAsia="Times New Roman" w:hAnsi="Arial" w:cs="Arial"/>
          <w:i/>
          <w:color w:val="000000"/>
          <w:lang w:eastAsia="es-MX"/>
        </w:rPr>
        <w:t>Número de recursos de revisión interpuestos en el 2015.</w:t>
      </w:r>
    </w:p>
    <w:p w:rsidR="009B4DAF" w:rsidRDefault="009B4DAF" w:rsidP="009B4DAF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>
        <w:rPr>
          <w:rFonts w:ascii="Arial" w:eastAsia="Times New Roman" w:hAnsi="Arial" w:cs="Arial"/>
          <w:i/>
          <w:color w:val="000000"/>
          <w:lang w:eastAsia="es-MX"/>
        </w:rPr>
        <w:t>Número de recursos de revisión por comisionado/a consejero/a en 2015.</w:t>
      </w:r>
    </w:p>
    <w:p w:rsidR="009B4DAF" w:rsidRPr="009B4DAF" w:rsidRDefault="009B4DAF" w:rsidP="009B4DAF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>
        <w:rPr>
          <w:rFonts w:ascii="Arial" w:eastAsia="Times New Roman" w:hAnsi="Arial" w:cs="Arial"/>
          <w:i/>
          <w:color w:val="000000"/>
          <w:lang w:eastAsia="es-MX"/>
        </w:rPr>
        <w:t>Número de confirmaciones, revocaciones, sobreseimientos y número de expedientes en trámite del organismo y por comisionado/a consejero/a en 2015.</w:t>
      </w:r>
    </w:p>
    <w:p w:rsidR="00F0490C" w:rsidRPr="00F0490C" w:rsidRDefault="00F0490C" w:rsidP="00F0490C">
      <w:pPr>
        <w:spacing w:after="0"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Sobre el particular, </w:t>
      </w:r>
      <w:r w:rsidRPr="00F0490C">
        <w:rPr>
          <w:rFonts w:ascii="Arial" w:hAnsi="Arial" w:cs="Arial"/>
          <w:b/>
        </w:rPr>
        <w:t>hago de su conocimiento lo siguiente:</w:t>
      </w:r>
    </w:p>
    <w:p w:rsidR="00F0490C" w:rsidRDefault="00F0490C" w:rsidP="00F0490C">
      <w:pPr>
        <w:spacing w:line="240" w:lineRule="auto"/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B144DD" w:rsidRDefault="006011C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2B70637" wp14:editId="0276333E">
            <wp:simplePos x="0" y="0"/>
            <wp:positionH relativeFrom="margin">
              <wp:posOffset>139065</wp:posOffset>
            </wp:positionH>
            <wp:positionV relativeFrom="margin">
              <wp:posOffset>4392295</wp:posOffset>
            </wp:positionV>
            <wp:extent cx="5610225" cy="3000375"/>
            <wp:effectExtent l="0" t="0" r="9525" b="9525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9B4DAF">
        <w:rPr>
          <w:rFonts w:ascii="Arial" w:hAnsi="Arial" w:cs="Arial"/>
        </w:rPr>
        <w:t xml:space="preserve">En el año 2015 se interpusieron </w:t>
      </w:r>
      <w:r w:rsidR="009B4DAF" w:rsidRPr="00124A84">
        <w:rPr>
          <w:rFonts w:ascii="Arial" w:hAnsi="Arial" w:cs="Arial"/>
          <w:b/>
        </w:rPr>
        <w:t>96</w:t>
      </w:r>
      <w:r w:rsidR="009B4DAF">
        <w:rPr>
          <w:rFonts w:ascii="Arial" w:hAnsi="Arial" w:cs="Arial"/>
        </w:rPr>
        <w:t xml:space="preserve"> Recursos de Revisión, de los cuales </w:t>
      </w:r>
      <w:r w:rsidR="005C2B3F" w:rsidRPr="00124A84">
        <w:rPr>
          <w:rFonts w:ascii="Arial" w:hAnsi="Arial" w:cs="Arial"/>
          <w:b/>
        </w:rPr>
        <w:t>29</w:t>
      </w:r>
      <w:r w:rsidR="005C2B3F">
        <w:rPr>
          <w:rFonts w:ascii="Arial" w:hAnsi="Arial" w:cs="Arial"/>
        </w:rPr>
        <w:t xml:space="preserve"> correspondió conocer al Comisionado Lic. Héctor Octavio Carriedo Sáenz, </w:t>
      </w:r>
      <w:r w:rsidR="005C2B3F" w:rsidRPr="00124A84">
        <w:rPr>
          <w:rFonts w:ascii="Arial" w:hAnsi="Arial" w:cs="Arial"/>
          <w:b/>
        </w:rPr>
        <w:t>30</w:t>
      </w:r>
      <w:r w:rsidR="005C2B3F">
        <w:rPr>
          <w:rFonts w:ascii="Arial" w:hAnsi="Arial" w:cs="Arial"/>
        </w:rPr>
        <w:t xml:space="preserve"> a la Comisionada L.C.T.C. María de Lourdes López Salas y </w:t>
      </w:r>
      <w:r w:rsidR="005C2B3F" w:rsidRPr="00124A84">
        <w:rPr>
          <w:rFonts w:ascii="Arial" w:hAnsi="Arial" w:cs="Arial"/>
          <w:b/>
        </w:rPr>
        <w:t>37</w:t>
      </w:r>
      <w:r w:rsidR="005C2B3F">
        <w:rPr>
          <w:rFonts w:ascii="Arial" w:hAnsi="Arial" w:cs="Arial"/>
        </w:rPr>
        <w:t xml:space="preserve"> al Comisionado Mtro. Alejandro Gaitán Manuel.</w:t>
      </w:r>
    </w:p>
    <w:p w:rsidR="003068A8" w:rsidRDefault="003068A8" w:rsidP="00B144DD">
      <w:pPr>
        <w:spacing w:after="0" w:line="240" w:lineRule="auto"/>
        <w:jc w:val="both"/>
        <w:rPr>
          <w:rFonts w:ascii="Arial" w:hAnsi="Arial" w:cs="Arial"/>
        </w:rPr>
      </w:pPr>
    </w:p>
    <w:p w:rsidR="003068A8" w:rsidRDefault="003068A8" w:rsidP="00B144DD">
      <w:pPr>
        <w:spacing w:after="0" w:line="240" w:lineRule="auto"/>
        <w:jc w:val="both"/>
        <w:rPr>
          <w:rFonts w:ascii="Arial" w:hAnsi="Arial" w:cs="Arial"/>
        </w:rPr>
      </w:pP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Respecto </w:t>
      </w:r>
      <w:r w:rsidR="003068A8">
        <w:rPr>
          <w:rFonts w:ascii="Arial" w:hAnsi="Arial" w:cs="Arial"/>
        </w:rPr>
        <w:t>del sentido de la resolución es el siguiente:</w:t>
      </w: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Revoca</w:t>
      </w:r>
      <w:r w:rsidR="00124A84">
        <w:rPr>
          <w:rFonts w:ascii="Arial" w:hAnsi="Arial" w:cs="Arial"/>
        </w:rPr>
        <w:t>:</w:t>
      </w:r>
      <w:r w:rsidR="00124A84">
        <w:rPr>
          <w:rFonts w:ascii="Arial" w:hAnsi="Arial" w:cs="Arial"/>
        </w:rPr>
        <w:tab/>
      </w:r>
      <w:r w:rsidR="003068A8">
        <w:rPr>
          <w:rFonts w:ascii="Arial" w:hAnsi="Arial" w:cs="Arial"/>
        </w:rPr>
        <w:t>11</w:t>
      </w: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Sobresee</w:t>
      </w:r>
      <w:r w:rsidR="003068A8">
        <w:rPr>
          <w:rFonts w:ascii="Arial" w:hAnsi="Arial" w:cs="Arial"/>
        </w:rPr>
        <w:t>:</w:t>
      </w:r>
      <w:r w:rsidR="00124A84">
        <w:rPr>
          <w:rFonts w:ascii="Arial" w:hAnsi="Arial" w:cs="Arial"/>
        </w:rPr>
        <w:tab/>
        <w:t>37</w:t>
      </w: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Modifica</w:t>
      </w:r>
      <w:r w:rsidR="00124A84">
        <w:rPr>
          <w:rFonts w:ascii="Arial" w:hAnsi="Arial" w:cs="Arial"/>
        </w:rPr>
        <w:t>:</w:t>
      </w:r>
      <w:r w:rsidR="00124A84">
        <w:rPr>
          <w:rFonts w:ascii="Arial" w:hAnsi="Arial" w:cs="Arial"/>
        </w:rPr>
        <w:tab/>
      </w:r>
      <w:r w:rsidR="003068A8">
        <w:rPr>
          <w:rFonts w:ascii="Arial" w:hAnsi="Arial" w:cs="Arial"/>
        </w:rPr>
        <w:t>3</w:t>
      </w:r>
      <w:r w:rsidR="00124A84">
        <w:rPr>
          <w:rFonts w:ascii="Arial" w:hAnsi="Arial" w:cs="Arial"/>
        </w:rPr>
        <w:t>1</w:t>
      </w: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Confirma</w:t>
      </w:r>
      <w:r w:rsidR="003068A8">
        <w:rPr>
          <w:rFonts w:ascii="Arial" w:hAnsi="Arial" w:cs="Arial"/>
        </w:rPr>
        <w:t>:</w:t>
      </w:r>
      <w:r w:rsidR="00124A84">
        <w:rPr>
          <w:rFonts w:ascii="Arial" w:hAnsi="Arial" w:cs="Arial"/>
        </w:rPr>
        <w:tab/>
        <w:t>13</w:t>
      </w:r>
    </w:p>
    <w:p w:rsidR="00124A84" w:rsidRDefault="00124A84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Desecha:</w:t>
      </w:r>
      <w:r>
        <w:rPr>
          <w:rFonts w:ascii="Arial" w:hAnsi="Arial" w:cs="Arial"/>
        </w:rPr>
        <w:tab/>
        <w:t xml:space="preserve"> 2</w:t>
      </w:r>
    </w:p>
    <w:p w:rsidR="00124A84" w:rsidRPr="00124A84" w:rsidRDefault="00124A84" w:rsidP="00B144D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 trámite:</w:t>
      </w:r>
      <w:r>
        <w:rPr>
          <w:rFonts w:ascii="Arial" w:hAnsi="Arial" w:cs="Arial"/>
          <w:b/>
        </w:rPr>
        <w:tab/>
        <w:t xml:space="preserve"> 2</w:t>
      </w:r>
    </w:p>
    <w:p w:rsidR="005C2B3F" w:rsidRDefault="005C2B3F" w:rsidP="00B144DD">
      <w:pPr>
        <w:spacing w:after="0" w:line="240" w:lineRule="auto"/>
        <w:jc w:val="both"/>
        <w:rPr>
          <w:rFonts w:ascii="Arial" w:hAnsi="Arial" w:cs="Arial"/>
        </w:rPr>
      </w:pPr>
    </w:p>
    <w:p w:rsidR="005C2B3F" w:rsidRDefault="003068A8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 wp14:anchorId="0BA484CF" wp14:editId="0B548D68">
            <wp:extent cx="5143500" cy="2847975"/>
            <wp:effectExtent l="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068A8" w:rsidRDefault="003068A8" w:rsidP="00B144DD">
      <w:pPr>
        <w:spacing w:after="0" w:line="240" w:lineRule="auto"/>
        <w:jc w:val="both"/>
        <w:rPr>
          <w:rFonts w:ascii="Arial" w:hAnsi="Arial" w:cs="Arial"/>
        </w:rPr>
      </w:pPr>
    </w:p>
    <w:p w:rsidR="00124A84" w:rsidRDefault="00124A84" w:rsidP="00F0490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igual forma, me permito adjuntar en formato Excel, los datos anteriormente mencionados.</w:t>
      </w:r>
    </w:p>
    <w:p w:rsidR="007B51B6" w:rsidRPr="00F0490C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</w:rPr>
        <w:t>E</w:t>
      </w:r>
      <w:r w:rsidR="007B51B6" w:rsidRPr="00F0490C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F0490C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F0490C">
        <w:rPr>
          <w:rFonts w:ascii="Arial" w:hAnsi="Arial" w:cs="Arial"/>
          <w:lang w:val="es-ES"/>
        </w:rPr>
        <w:t xml:space="preserve">su </w:t>
      </w:r>
      <w:r w:rsidR="007B51B6" w:rsidRPr="00F0490C">
        <w:rPr>
          <w:rFonts w:ascii="Arial" w:hAnsi="Arial" w:cs="Arial"/>
          <w:lang w:val="es-ES"/>
        </w:rPr>
        <w:t>Recurso de Revisión ante est</w:t>
      </w:r>
      <w:r w:rsidR="00056E15" w:rsidRPr="00F0490C">
        <w:rPr>
          <w:rFonts w:ascii="Arial" w:hAnsi="Arial" w:cs="Arial"/>
          <w:lang w:val="es-ES"/>
        </w:rPr>
        <w:t>e</w:t>
      </w:r>
      <w:r w:rsidR="007B51B6" w:rsidRPr="00F0490C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F0490C">
        <w:rPr>
          <w:rFonts w:ascii="Arial" w:hAnsi="Arial" w:cs="Arial"/>
          <w:lang w:val="es-ES"/>
        </w:rPr>
        <w:t>INFOMEX-DURANGO</w:t>
      </w:r>
      <w:r w:rsidR="007B51B6" w:rsidRPr="00F0490C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F0490C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F0490C">
        <w:rPr>
          <w:rFonts w:ascii="Arial" w:hAnsi="Arial" w:cs="Arial"/>
          <w:lang w:val="es-ES"/>
        </w:rPr>
        <w:t>a</w:t>
      </w:r>
      <w:r w:rsidR="002D71C8" w:rsidRPr="00F0490C">
        <w:rPr>
          <w:rFonts w:ascii="Arial" w:hAnsi="Arial" w:cs="Arial"/>
          <w:lang w:val="es-ES"/>
        </w:rPr>
        <w:t xml:space="preserve"> suscrita</w:t>
      </w:r>
      <w:r w:rsidR="00E66001" w:rsidRPr="00F0490C">
        <w:rPr>
          <w:rFonts w:ascii="Arial" w:hAnsi="Arial" w:cs="Arial"/>
          <w:lang w:val="es-ES"/>
        </w:rPr>
        <w:t xml:space="preserve"> al (618) 811 77 12 o </w:t>
      </w:r>
      <w:r w:rsidR="00E16D12" w:rsidRPr="00F0490C">
        <w:rPr>
          <w:rFonts w:ascii="Arial" w:hAnsi="Arial" w:cs="Arial"/>
          <w:lang w:val="es-ES"/>
        </w:rPr>
        <w:t xml:space="preserve">al </w:t>
      </w:r>
      <w:r w:rsidR="00E66001" w:rsidRPr="00F0490C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F0490C">
        <w:rPr>
          <w:rFonts w:ascii="Arial" w:hAnsi="Arial" w:cs="Arial"/>
          <w:lang w:val="es-ES"/>
        </w:rPr>
        <w:t>ó</w:t>
      </w:r>
      <w:proofErr w:type="spellEnd"/>
      <w:r w:rsidR="00E66001" w:rsidRPr="00F0490C">
        <w:rPr>
          <w:rFonts w:ascii="Arial" w:hAnsi="Arial" w:cs="Arial"/>
          <w:lang w:val="es-ES"/>
        </w:rPr>
        <w:t xml:space="preserve"> por correo electrónico a </w:t>
      </w:r>
      <w:hyperlink r:id="rId10" w:history="1">
        <w:r w:rsidR="00E66001" w:rsidRPr="00F0490C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F0490C">
        <w:rPr>
          <w:rFonts w:ascii="Arial" w:hAnsi="Arial" w:cs="Arial"/>
          <w:lang w:val="es-ES"/>
        </w:rPr>
        <w:t>.</w:t>
      </w:r>
    </w:p>
    <w:p w:rsidR="00735EA9" w:rsidRDefault="004209C4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E66001" w:rsidRPr="00F0490C" w:rsidRDefault="00E66001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F0490C">
        <w:rPr>
          <w:rFonts w:ascii="Arial" w:hAnsi="Arial" w:cs="Arial"/>
          <w:b/>
          <w:lang w:val="pt-BR"/>
        </w:rPr>
        <w:t>A T E N T A M E N T E</w:t>
      </w:r>
    </w:p>
    <w:p w:rsidR="005D4722" w:rsidRDefault="005D4722" w:rsidP="006011CF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:rsidR="00E66001" w:rsidRPr="00F0490C" w:rsidRDefault="00E16D12" w:rsidP="006011CF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ALMA CRISTINA LÓPEZ DE LA TORRE</w:t>
      </w:r>
    </w:p>
    <w:p w:rsidR="00E66001" w:rsidRPr="00F0490C" w:rsidRDefault="00E66001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UNIDAD DE ENLACE DEL IDAIP</w:t>
      </w:r>
    </w:p>
    <w:sectPr w:rsidR="00E66001" w:rsidRPr="00F0490C" w:rsidSect="00735EA9">
      <w:headerReference w:type="default" r:id="rId11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5F0" w:rsidRDefault="008025F0" w:rsidP="00DE60E6">
      <w:pPr>
        <w:spacing w:after="0" w:line="240" w:lineRule="auto"/>
      </w:pPr>
      <w:r>
        <w:separator/>
      </w:r>
    </w:p>
  </w:endnote>
  <w:endnote w:type="continuationSeparator" w:id="0">
    <w:p w:rsidR="008025F0" w:rsidRDefault="008025F0" w:rsidP="00DE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5F0" w:rsidRDefault="008025F0" w:rsidP="00DE60E6">
      <w:pPr>
        <w:spacing w:after="0" w:line="240" w:lineRule="auto"/>
      </w:pPr>
      <w:r>
        <w:separator/>
      </w:r>
    </w:p>
  </w:footnote>
  <w:footnote w:type="continuationSeparator" w:id="0">
    <w:p w:rsidR="008025F0" w:rsidRDefault="008025F0" w:rsidP="00DE6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E6" w:rsidRDefault="00DE60E6">
    <w:pPr>
      <w:pStyle w:val="Encabezado"/>
    </w:pPr>
    <w:r>
      <w:rPr>
        <w:noProof/>
        <w:lang w:eastAsia="es-MX"/>
      </w:rPr>
      <w:drawing>
        <wp:inline distT="0" distB="0" distL="0" distR="0" wp14:anchorId="761F151D">
          <wp:extent cx="1943100" cy="88582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C20"/>
    <w:multiLevelType w:val="hybridMultilevel"/>
    <w:tmpl w:val="FBCC8DF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0A46"/>
    <w:rsid w:val="000C2E4C"/>
    <w:rsid w:val="000C76B8"/>
    <w:rsid w:val="000E0AD4"/>
    <w:rsid w:val="001045C3"/>
    <w:rsid w:val="00106DEA"/>
    <w:rsid w:val="00124A84"/>
    <w:rsid w:val="00134CA9"/>
    <w:rsid w:val="00175751"/>
    <w:rsid w:val="00182FB8"/>
    <w:rsid w:val="00190370"/>
    <w:rsid w:val="001A1D2C"/>
    <w:rsid w:val="00247FB0"/>
    <w:rsid w:val="00274B29"/>
    <w:rsid w:val="00281576"/>
    <w:rsid w:val="002D1BA7"/>
    <w:rsid w:val="002D3C75"/>
    <w:rsid w:val="002D3D6D"/>
    <w:rsid w:val="002D71C8"/>
    <w:rsid w:val="002F19EE"/>
    <w:rsid w:val="003068A8"/>
    <w:rsid w:val="00320D11"/>
    <w:rsid w:val="0032790A"/>
    <w:rsid w:val="00330AC8"/>
    <w:rsid w:val="00346B8D"/>
    <w:rsid w:val="0036550C"/>
    <w:rsid w:val="003747F8"/>
    <w:rsid w:val="003A099B"/>
    <w:rsid w:val="003E121A"/>
    <w:rsid w:val="003F0186"/>
    <w:rsid w:val="004209C4"/>
    <w:rsid w:val="00485437"/>
    <w:rsid w:val="00492D8F"/>
    <w:rsid w:val="004958B9"/>
    <w:rsid w:val="004A0A52"/>
    <w:rsid w:val="004C3BE1"/>
    <w:rsid w:val="00531510"/>
    <w:rsid w:val="00541F77"/>
    <w:rsid w:val="005429B4"/>
    <w:rsid w:val="00561012"/>
    <w:rsid w:val="00562A13"/>
    <w:rsid w:val="005C2B3F"/>
    <w:rsid w:val="005D4722"/>
    <w:rsid w:val="005D7E5F"/>
    <w:rsid w:val="005F229B"/>
    <w:rsid w:val="006011CF"/>
    <w:rsid w:val="00601BB4"/>
    <w:rsid w:val="00684A14"/>
    <w:rsid w:val="006C632D"/>
    <w:rsid w:val="006E2CD1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B51B6"/>
    <w:rsid w:val="007D5D83"/>
    <w:rsid w:val="007E0630"/>
    <w:rsid w:val="007E51D5"/>
    <w:rsid w:val="008025F0"/>
    <w:rsid w:val="00822B93"/>
    <w:rsid w:val="00823BB7"/>
    <w:rsid w:val="00832AE8"/>
    <w:rsid w:val="008C490D"/>
    <w:rsid w:val="008D7DC5"/>
    <w:rsid w:val="008F5647"/>
    <w:rsid w:val="009016A0"/>
    <w:rsid w:val="00907AD6"/>
    <w:rsid w:val="009149ED"/>
    <w:rsid w:val="009B05B6"/>
    <w:rsid w:val="009B4DAF"/>
    <w:rsid w:val="009B6178"/>
    <w:rsid w:val="009D474A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44DD"/>
    <w:rsid w:val="00B15C99"/>
    <w:rsid w:val="00B35815"/>
    <w:rsid w:val="00B46A29"/>
    <w:rsid w:val="00B56202"/>
    <w:rsid w:val="00B84702"/>
    <w:rsid w:val="00BD0AEB"/>
    <w:rsid w:val="00C12CEC"/>
    <w:rsid w:val="00C368BD"/>
    <w:rsid w:val="00C6711D"/>
    <w:rsid w:val="00C720A2"/>
    <w:rsid w:val="00C73A69"/>
    <w:rsid w:val="00C8257C"/>
    <w:rsid w:val="00CC4779"/>
    <w:rsid w:val="00CE366C"/>
    <w:rsid w:val="00D175AB"/>
    <w:rsid w:val="00D36CB4"/>
    <w:rsid w:val="00D4594C"/>
    <w:rsid w:val="00D4657E"/>
    <w:rsid w:val="00D54815"/>
    <w:rsid w:val="00D802AF"/>
    <w:rsid w:val="00D82405"/>
    <w:rsid w:val="00DB7214"/>
    <w:rsid w:val="00DD6C58"/>
    <w:rsid w:val="00DD7D5B"/>
    <w:rsid w:val="00DE1134"/>
    <w:rsid w:val="00DE60E6"/>
    <w:rsid w:val="00E122D3"/>
    <w:rsid w:val="00E16D12"/>
    <w:rsid w:val="00E25081"/>
    <w:rsid w:val="00E439DD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81528"/>
    <w:rsid w:val="00FB3BA9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6F4F10-C6C2-4F3A-8E1C-0E139C4F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DE60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60E6"/>
  </w:style>
  <w:style w:type="paragraph" w:styleId="Piedepgina">
    <w:name w:val="footer"/>
    <w:basedOn w:val="Normal"/>
    <w:link w:val="PiedepginaCar"/>
    <w:uiPriority w:val="99"/>
    <w:unhideWhenUsed/>
    <w:rsid w:val="00DE60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uzon@idaip.org.mx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ORD-JURIDICA\Documents\INFORMES-RECURSOS%20DE%20REVISI&#211;N\GRAFICOS%20RECURSOS\GRAFICAS%20RECURSOS%20x%20ponente%2020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ORD-JURIDICA\Documents\INFORMES-RECURSOS%20DE%20REVISI&#211;N\GRAFICOS%20RECURSOS\GRAFICAS%20RECURSOS%20x%20ponente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Recursos de Revisión por Ponente</a:t>
            </a:r>
            <a:endParaRPr lang="es-MX"/>
          </a:p>
        </c:rich>
      </c:tx>
      <c:overlay val="0"/>
    </c:title>
    <c:autoTitleDeleted val="0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16737296632488"/>
          <c:y val="0.18118401866433362"/>
          <c:w val="0.7345596656105593"/>
          <c:h val="0.66715593884097824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5664701504841606E-2"/>
                  <c:y val="-5.8825980085822609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5105169578760211"/>
                  <c:y val="-0.1165057701120693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2207442660499358E-3"/>
                  <c:y val="-0.10226521684789401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GRÁFICOS!$O$5:$O$7</c:f>
              <c:strCache>
                <c:ptCount val="3"/>
                <c:pt idx="0">
                  <c:v>HOCS</c:v>
                </c:pt>
                <c:pt idx="1">
                  <c:v>MLLS</c:v>
                </c:pt>
                <c:pt idx="2">
                  <c:v>AGM</c:v>
                </c:pt>
              </c:strCache>
            </c:strRef>
          </c:cat>
          <c:val>
            <c:numRef>
              <c:f>GRÁFICOS!$P$5:$P$7</c:f>
              <c:numCache>
                <c:formatCode>General</c:formatCode>
                <c:ptCount val="3"/>
                <c:pt idx="0">
                  <c:v>27</c:v>
                </c:pt>
                <c:pt idx="1">
                  <c:v>30</c:v>
                </c:pt>
                <c:pt idx="2">
                  <c:v>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ES" sz="1800" b="1" i="0" baseline="0">
                <a:effectLst/>
              </a:rPr>
              <a:t>Sentido de la resolución</a:t>
            </a:r>
            <a:endParaRPr lang="es-MX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2"/>
              <c:layout>
                <c:manualLayout>
                  <c:x val="-0.22546697287839021"/>
                  <c:y val="-3.629629629629629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8238954505686789E-2"/>
                  <c:y val="8.20800524934383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GRÁFICOS!$O$10:$O$14</c:f>
              <c:strCache>
                <c:ptCount val="5"/>
                <c:pt idx="0">
                  <c:v>CONFIRMA</c:v>
                </c:pt>
                <c:pt idx="1">
                  <c:v>MODIFICA</c:v>
                </c:pt>
                <c:pt idx="2">
                  <c:v>REVOCA</c:v>
                </c:pt>
                <c:pt idx="3">
                  <c:v>SOBRESEE</c:v>
                </c:pt>
                <c:pt idx="4">
                  <c:v>DESECHA</c:v>
                </c:pt>
              </c:strCache>
            </c:strRef>
          </c:cat>
          <c:val>
            <c:numRef>
              <c:f>GRÁFICOS!$P$10:$P$14</c:f>
              <c:numCache>
                <c:formatCode>General</c:formatCode>
                <c:ptCount val="5"/>
                <c:pt idx="0">
                  <c:v>12</c:v>
                </c:pt>
                <c:pt idx="1">
                  <c:v>30</c:v>
                </c:pt>
                <c:pt idx="2">
                  <c:v>11</c:v>
                </c:pt>
                <c:pt idx="3">
                  <c:v>38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AFA7-29F8-4AFE-BED0-7723A622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9</cp:revision>
  <cp:lastPrinted>2016-01-20T19:13:00Z</cp:lastPrinted>
  <dcterms:created xsi:type="dcterms:W3CDTF">2016-01-20T19:15:00Z</dcterms:created>
  <dcterms:modified xsi:type="dcterms:W3CDTF">2016-01-22T21:16:00Z</dcterms:modified>
</cp:coreProperties>
</file>